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4" w:type="dxa"/>
        <w:jc w:val="center"/>
        <w:tblInd w:w="250" w:type="dxa"/>
        <w:tblCellMar>
          <w:left w:w="0" w:type="dxa"/>
          <w:right w:w="0" w:type="dxa"/>
        </w:tblCellMar>
        <w:tblLook w:val="04A0" w:firstRow="1" w:lastRow="0" w:firstColumn="1" w:lastColumn="0" w:noHBand="0" w:noVBand="1"/>
      </w:tblPr>
      <w:tblGrid>
        <w:gridCol w:w="9584"/>
      </w:tblGrid>
      <w:tr w:rsidR="007B0A59" w:rsidTr="00F66C51">
        <w:trPr>
          <w:trHeight w:val="558"/>
          <w:jc w:val="center"/>
        </w:trPr>
        <w:tc>
          <w:tcPr>
            <w:tcW w:w="9584" w:type="dxa"/>
            <w:tcBorders>
              <w:top w:val="single" w:sz="24" w:space="0" w:color="0000CC"/>
              <w:left w:val="single" w:sz="24" w:space="0" w:color="0000CC"/>
              <w:bottom w:val="single" w:sz="24" w:space="0" w:color="0000CC"/>
              <w:right w:val="single" w:sz="24" w:space="0" w:color="0000CC"/>
            </w:tcBorders>
            <w:tcMar>
              <w:top w:w="0" w:type="dxa"/>
              <w:left w:w="108" w:type="dxa"/>
              <w:bottom w:w="0" w:type="dxa"/>
              <w:right w:w="108" w:type="dxa"/>
            </w:tcMar>
            <w:hideMark/>
          </w:tcPr>
          <w:p w:rsidR="007B0A59" w:rsidRDefault="007B0A59">
            <w:pPr>
              <w:spacing w:after="0" w:line="240" w:lineRule="auto"/>
              <w:rPr>
                <w:rFonts w:ascii="Arial" w:hAnsi="Arial" w:cs="Arial"/>
                <w:b/>
                <w:bCs/>
                <w:color w:val="E36C0A"/>
                <w:sz w:val="36"/>
                <w:szCs w:val="36"/>
              </w:rPr>
            </w:pPr>
            <w:r>
              <w:rPr>
                <w:noProof/>
                <w:lang w:eastAsia="en-GB"/>
              </w:rPr>
              <w:drawing>
                <wp:anchor distT="0" distB="0" distL="114300" distR="114300" simplePos="0" relativeHeight="251659264" behindDoc="0" locked="0" layoutInCell="1" allowOverlap="1" wp14:anchorId="77647990" wp14:editId="64988F95">
                  <wp:simplePos x="0" y="0"/>
                  <wp:positionH relativeFrom="column">
                    <wp:align>right</wp:align>
                  </wp:positionH>
                  <wp:positionV relativeFrom="paragraph">
                    <wp:posOffset>8890</wp:posOffset>
                  </wp:positionV>
                  <wp:extent cx="1294130" cy="953770"/>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94130" cy="953770"/>
                          </a:xfrm>
                          <a:prstGeom prst="rect">
                            <a:avLst/>
                          </a:prstGeom>
                          <a:noFill/>
                        </pic:spPr>
                      </pic:pic>
                    </a:graphicData>
                  </a:graphic>
                  <wp14:sizeRelH relativeFrom="page">
                    <wp14:pctWidth>0</wp14:pctWidth>
                  </wp14:sizeRelH>
                  <wp14:sizeRelV relativeFrom="page">
                    <wp14:pctHeight>0</wp14:pctHeight>
                  </wp14:sizeRelV>
                </wp:anchor>
              </w:drawing>
            </w:r>
          </w:p>
          <w:p w:rsidR="007B0A59" w:rsidRPr="007B0A59" w:rsidRDefault="007B0A59">
            <w:pPr>
              <w:spacing w:after="0" w:line="240" w:lineRule="auto"/>
              <w:rPr>
                <w:b/>
                <w:bCs/>
                <w:color w:val="0000CC"/>
                <w:sz w:val="48"/>
                <w:szCs w:val="48"/>
                <w:lang w:val="en-US"/>
              </w:rPr>
            </w:pPr>
            <w:r w:rsidRPr="007B0A59">
              <w:rPr>
                <w:b/>
                <w:bCs/>
                <w:color w:val="0000CC"/>
                <w:sz w:val="48"/>
                <w:szCs w:val="48"/>
                <w:lang w:val="en-US"/>
              </w:rPr>
              <w:t>Project Officer</w:t>
            </w:r>
            <w:r w:rsidR="00BF1B49">
              <w:rPr>
                <w:b/>
                <w:bCs/>
                <w:color w:val="0000CC"/>
                <w:sz w:val="48"/>
                <w:szCs w:val="48"/>
                <w:lang w:val="en-US"/>
              </w:rPr>
              <w:t xml:space="preserve"> (Part time)</w:t>
            </w:r>
          </w:p>
          <w:p w:rsidR="007B0A59" w:rsidRDefault="007B0A59" w:rsidP="00BF1B49">
            <w:pPr>
              <w:rPr>
                <w:sz w:val="36"/>
                <w:szCs w:val="36"/>
                <w:lang w:val="en-US"/>
              </w:rPr>
            </w:pPr>
            <w:r w:rsidRPr="007B0A59">
              <w:rPr>
                <w:color w:val="0000CC"/>
                <w:sz w:val="32"/>
                <w:szCs w:val="32"/>
                <w:lang w:val="en-US"/>
              </w:rPr>
              <w:t xml:space="preserve">Aasha </w:t>
            </w:r>
            <w:r w:rsidR="00BF1B49">
              <w:rPr>
                <w:color w:val="0000CC"/>
                <w:sz w:val="32"/>
                <w:szCs w:val="32"/>
                <w:lang w:val="en-US"/>
              </w:rPr>
              <w:t>Project</w:t>
            </w:r>
          </w:p>
        </w:tc>
      </w:tr>
      <w:tr w:rsidR="007B0A59" w:rsidTr="00F66C51">
        <w:trPr>
          <w:jc w:val="center"/>
        </w:trPr>
        <w:tc>
          <w:tcPr>
            <w:tcW w:w="9584" w:type="dxa"/>
            <w:tcBorders>
              <w:top w:val="nil"/>
              <w:left w:val="single" w:sz="24" w:space="0" w:color="0000CC"/>
              <w:bottom w:val="single" w:sz="24" w:space="0" w:color="0000CC"/>
              <w:right w:val="single" w:sz="24" w:space="0" w:color="0000CC"/>
            </w:tcBorders>
            <w:tcMar>
              <w:top w:w="0" w:type="dxa"/>
              <w:left w:w="108" w:type="dxa"/>
              <w:bottom w:w="0" w:type="dxa"/>
              <w:right w:w="108" w:type="dxa"/>
            </w:tcMar>
          </w:tcPr>
          <w:p w:rsidR="007B0A59" w:rsidRDefault="007B0A59">
            <w:pPr>
              <w:spacing w:after="0" w:line="240" w:lineRule="auto"/>
              <w:rPr>
                <w:rFonts w:ascii="Arial" w:hAnsi="Arial" w:cs="Arial"/>
                <w:b/>
                <w:bCs/>
                <w:color w:val="E36C0A"/>
                <w:sz w:val="20"/>
                <w:szCs w:val="20"/>
              </w:rPr>
            </w:pPr>
          </w:p>
          <w:p w:rsidR="007B0A59" w:rsidRDefault="007B0A59">
            <w:pPr>
              <w:spacing w:after="0" w:line="240" w:lineRule="auto"/>
              <w:rPr>
                <w:rFonts w:ascii="Arial" w:hAnsi="Arial" w:cs="Arial"/>
                <w:sz w:val="20"/>
                <w:szCs w:val="20"/>
              </w:rPr>
            </w:pPr>
            <w:r w:rsidRPr="007B0A59">
              <w:rPr>
                <w:rFonts w:ascii="Arial" w:hAnsi="Arial" w:cs="Arial"/>
                <w:b/>
                <w:bCs/>
                <w:color w:val="0000CC"/>
                <w:sz w:val="20"/>
                <w:szCs w:val="20"/>
              </w:rPr>
              <w:t>Hours:</w:t>
            </w:r>
            <w:r w:rsidRPr="007B0A59">
              <w:rPr>
                <w:rFonts w:ascii="Arial" w:hAnsi="Arial" w:cs="Arial"/>
                <w:color w:val="0000CC"/>
                <w:sz w:val="20"/>
                <w:szCs w:val="20"/>
              </w:rPr>
              <w:t xml:space="preserve"> </w:t>
            </w:r>
            <w:r w:rsidR="00F66C51">
              <w:rPr>
                <w:rFonts w:ascii="Arial" w:hAnsi="Arial" w:cs="Arial"/>
                <w:sz w:val="20"/>
                <w:szCs w:val="20"/>
              </w:rPr>
              <w:t xml:space="preserve">10 </w:t>
            </w:r>
            <w:r w:rsidR="00154C7C">
              <w:rPr>
                <w:rFonts w:ascii="Arial" w:hAnsi="Arial" w:cs="Arial"/>
                <w:sz w:val="20"/>
                <w:szCs w:val="20"/>
              </w:rPr>
              <w:t>hrs.</w:t>
            </w:r>
            <w:r>
              <w:rPr>
                <w:rFonts w:ascii="Arial" w:hAnsi="Arial" w:cs="Arial"/>
                <w:sz w:val="20"/>
                <w:szCs w:val="20"/>
              </w:rPr>
              <w:t xml:space="preserve"> per week</w:t>
            </w:r>
          </w:p>
          <w:p w:rsidR="007B0A59" w:rsidRDefault="007B0A59">
            <w:pPr>
              <w:spacing w:after="0" w:line="240" w:lineRule="auto"/>
              <w:rPr>
                <w:rFonts w:ascii="Arial" w:hAnsi="Arial" w:cs="Arial"/>
                <w:sz w:val="20"/>
                <w:szCs w:val="20"/>
              </w:rPr>
            </w:pPr>
            <w:r w:rsidRPr="007B0A59">
              <w:rPr>
                <w:rFonts w:ascii="Arial" w:hAnsi="Arial" w:cs="Arial"/>
                <w:b/>
                <w:bCs/>
                <w:color w:val="0000CC"/>
                <w:sz w:val="20"/>
                <w:szCs w:val="20"/>
              </w:rPr>
              <w:t>Salary</w:t>
            </w:r>
            <w:r w:rsidRPr="007B0A59">
              <w:rPr>
                <w:rFonts w:ascii="Arial" w:hAnsi="Arial" w:cs="Arial"/>
                <w:color w:val="0000CC"/>
                <w:sz w:val="20"/>
                <w:szCs w:val="20"/>
              </w:rPr>
              <w:t xml:space="preserve">: </w:t>
            </w:r>
            <w:r>
              <w:rPr>
                <w:rFonts w:ascii="Arial" w:hAnsi="Arial" w:cs="Arial"/>
                <w:sz w:val="20"/>
                <w:szCs w:val="20"/>
              </w:rPr>
              <w:t>£</w:t>
            </w:r>
            <w:r w:rsidR="002D17B6">
              <w:rPr>
                <w:rFonts w:ascii="Arial" w:hAnsi="Arial" w:cs="Arial"/>
                <w:sz w:val="20"/>
                <w:szCs w:val="20"/>
              </w:rPr>
              <w:t>8-10</w:t>
            </w:r>
            <w:bookmarkStart w:id="0" w:name="_GoBack"/>
            <w:bookmarkEnd w:id="0"/>
            <w:r w:rsidR="00F66C51">
              <w:rPr>
                <w:rFonts w:ascii="Arial" w:hAnsi="Arial" w:cs="Arial"/>
                <w:sz w:val="20"/>
                <w:szCs w:val="20"/>
              </w:rPr>
              <w:t xml:space="preserve"> per hour</w:t>
            </w:r>
            <w:r>
              <w:rPr>
                <w:rFonts w:ascii="Arial" w:hAnsi="Arial" w:cs="Arial"/>
                <w:sz w:val="20"/>
                <w:szCs w:val="20"/>
              </w:rPr>
              <w:t xml:space="preserve"> (</w:t>
            </w:r>
            <w:r>
              <w:rPr>
                <w:rFonts w:ascii="Arial" w:hAnsi="Arial" w:cs="Arial"/>
                <w:i/>
                <w:iCs/>
                <w:sz w:val="20"/>
                <w:szCs w:val="20"/>
              </w:rPr>
              <w:t>depending on qualification and experienc</w:t>
            </w:r>
            <w:r>
              <w:rPr>
                <w:rFonts w:ascii="Arial" w:hAnsi="Arial" w:cs="Arial"/>
                <w:sz w:val="20"/>
                <w:szCs w:val="20"/>
              </w:rPr>
              <w:t>e)</w:t>
            </w:r>
          </w:p>
          <w:p w:rsidR="007B0A59" w:rsidRDefault="007B0A59">
            <w:pPr>
              <w:pStyle w:val="Default"/>
              <w:rPr>
                <w:sz w:val="20"/>
                <w:szCs w:val="20"/>
              </w:rPr>
            </w:pPr>
            <w:r w:rsidRPr="007B0A59">
              <w:rPr>
                <w:b/>
                <w:bCs/>
                <w:color w:val="0000CC"/>
                <w:sz w:val="20"/>
                <w:szCs w:val="20"/>
              </w:rPr>
              <w:t>Duration:</w:t>
            </w:r>
            <w:r w:rsidRPr="007B0A59">
              <w:rPr>
                <w:color w:val="0000CC"/>
                <w:sz w:val="20"/>
                <w:szCs w:val="20"/>
              </w:rPr>
              <w:t xml:space="preserve"> </w:t>
            </w:r>
            <w:r w:rsidR="00F66C51">
              <w:rPr>
                <w:sz w:val="20"/>
                <w:szCs w:val="20"/>
              </w:rPr>
              <w:t>Until end of March 2013</w:t>
            </w:r>
          </w:p>
          <w:p w:rsidR="007B0A59" w:rsidRDefault="007B0A59">
            <w:pPr>
              <w:pStyle w:val="Default"/>
              <w:rPr>
                <w:rFonts w:ascii="Calibri" w:hAnsi="Calibri" w:cs="Calibri"/>
              </w:rPr>
            </w:pPr>
          </w:p>
        </w:tc>
      </w:tr>
      <w:tr w:rsidR="007B0A59" w:rsidTr="00F66C51">
        <w:trPr>
          <w:jc w:val="center"/>
        </w:trPr>
        <w:tc>
          <w:tcPr>
            <w:tcW w:w="9584" w:type="dxa"/>
            <w:tcBorders>
              <w:top w:val="nil"/>
              <w:left w:val="single" w:sz="24" w:space="0" w:color="0000CC"/>
              <w:bottom w:val="single" w:sz="24" w:space="0" w:color="0000CC"/>
              <w:right w:val="single" w:sz="24" w:space="0" w:color="0000CC"/>
            </w:tcBorders>
            <w:tcMar>
              <w:top w:w="0" w:type="dxa"/>
              <w:left w:w="108" w:type="dxa"/>
              <w:bottom w:w="0" w:type="dxa"/>
              <w:right w:w="108" w:type="dxa"/>
            </w:tcMar>
          </w:tcPr>
          <w:p w:rsidR="007B0A59" w:rsidRDefault="007B0A59">
            <w:pPr>
              <w:spacing w:after="0" w:line="240" w:lineRule="auto"/>
              <w:rPr>
                <w:color w:val="365F91"/>
              </w:rPr>
            </w:pPr>
          </w:p>
          <w:p w:rsidR="007B0A59" w:rsidRDefault="007B0A59">
            <w:pPr>
              <w:autoSpaceDE w:val="0"/>
              <w:autoSpaceDN w:val="0"/>
              <w:rPr>
                <w:rFonts w:ascii="Arial" w:hAnsi="Arial" w:cs="Arial"/>
                <w:sz w:val="20"/>
                <w:szCs w:val="20"/>
              </w:rPr>
            </w:pPr>
            <w:r>
              <w:rPr>
                <w:rFonts w:ascii="Arial" w:hAnsi="Arial" w:cs="Arial"/>
                <w:sz w:val="20"/>
                <w:szCs w:val="20"/>
              </w:rPr>
              <w:t>The Osmani Trust is a voluntary youth organisation and a registered charity based in the London Borough of Tower Hamlets. In April 2009, Brick Lane Youth Development Association (BLYDA) and Elite Youth merged to become one of the leading 3rd sector organisations in the Borough delivering a wide and unique range of services to young people and the community.</w:t>
            </w:r>
          </w:p>
          <w:p w:rsidR="007B0A59" w:rsidRDefault="007B0A59">
            <w:pPr>
              <w:rPr>
                <w:rFonts w:ascii="Arial" w:hAnsi="Arial" w:cs="Arial"/>
                <w:sz w:val="20"/>
                <w:szCs w:val="20"/>
              </w:rPr>
            </w:pPr>
            <w:r>
              <w:rPr>
                <w:rFonts w:ascii="Arial" w:hAnsi="Arial" w:cs="Arial"/>
                <w:sz w:val="20"/>
                <w:szCs w:val="20"/>
              </w:rPr>
              <w:t xml:space="preserve">The Aasha Gang Mediation Project (a project of Osmani Trust) has been working with young people influenced by gang culture for the last decade.  It is </w:t>
            </w:r>
            <w:r>
              <w:rPr>
                <w:rFonts w:ascii="Arial" w:hAnsi="Arial" w:cs="Arial"/>
                <w:i/>
                <w:iCs/>
                <w:sz w:val="20"/>
                <w:szCs w:val="20"/>
              </w:rPr>
              <w:t>the</w:t>
            </w:r>
            <w:r>
              <w:rPr>
                <w:rFonts w:ascii="Arial" w:hAnsi="Arial" w:cs="Arial"/>
                <w:sz w:val="20"/>
                <w:szCs w:val="20"/>
              </w:rPr>
              <w:t xml:space="preserve"> pioneering project in Tower Hamlets that has been tackling the issue of gangs in our community. In order to strengthen its provisions in the Borough, we are seeking to recruit an individual who will be able to work with challenging groups of young people by designing and delivering effective interventions in a peer work setting. The post will involve direct contact with young people, regular outreach sessions every week, supporting young people in organising activities, events and more. </w:t>
            </w:r>
          </w:p>
          <w:p w:rsidR="007B0A59" w:rsidRDefault="007B0A59">
            <w:pPr>
              <w:rPr>
                <w:rFonts w:ascii="Arial" w:hAnsi="Arial" w:cs="Arial"/>
                <w:sz w:val="20"/>
                <w:szCs w:val="20"/>
              </w:rPr>
            </w:pPr>
            <w:r>
              <w:rPr>
                <w:rFonts w:ascii="Arial" w:hAnsi="Arial" w:cs="Arial"/>
                <w:sz w:val="20"/>
                <w:szCs w:val="20"/>
              </w:rPr>
              <w:t>If you have direct experience of handling youth who are from a disadvantaged background, display challenging behaviour, then we are keen to hear from you.  The ideal post holder will have the ability to work well under pressure, meet tight deadlines and targets within the agreed time and budget. You will need to have considerable experience of working in a youth work setting in accordance with the core values of youth work.</w:t>
            </w:r>
          </w:p>
          <w:p w:rsidR="007B0A59" w:rsidRDefault="007B0A59">
            <w:pPr>
              <w:rPr>
                <w:rFonts w:ascii="Arial" w:hAnsi="Arial" w:cs="Arial"/>
                <w:sz w:val="20"/>
                <w:szCs w:val="20"/>
              </w:rPr>
            </w:pPr>
            <w:r>
              <w:rPr>
                <w:rFonts w:ascii="Arial" w:hAnsi="Arial" w:cs="Arial"/>
                <w:sz w:val="20"/>
                <w:szCs w:val="20"/>
              </w:rPr>
              <w:t xml:space="preserve">For an informal chat or if you would like an application pack contact Muhinur Choudhury on 020 7247 8080 or email </w:t>
            </w:r>
            <w:hyperlink r:id="rId6" w:history="1">
              <w:r>
                <w:rPr>
                  <w:rStyle w:val="Hyperlink"/>
                  <w:rFonts w:ascii="Arial" w:hAnsi="Arial" w:cs="Arial"/>
                  <w:sz w:val="20"/>
                  <w:szCs w:val="20"/>
                </w:rPr>
                <w:t>Muhinur.choudhury@osmanitrust.org</w:t>
              </w:r>
            </w:hyperlink>
          </w:p>
          <w:p w:rsidR="007B0A59" w:rsidRDefault="007B0A59">
            <w:pPr>
              <w:rPr>
                <w:rFonts w:ascii="Arial" w:hAnsi="Arial" w:cs="Arial"/>
                <w:sz w:val="20"/>
                <w:szCs w:val="20"/>
              </w:rPr>
            </w:pPr>
            <w:r>
              <w:rPr>
                <w:rFonts w:ascii="Arial" w:hAnsi="Arial" w:cs="Arial"/>
                <w:sz w:val="20"/>
                <w:szCs w:val="20"/>
              </w:rPr>
              <w:t>The successful candidate would be subject to an enhanced CRB check and satisfactory reference checks.</w:t>
            </w:r>
          </w:p>
          <w:p w:rsidR="007B0A59" w:rsidRDefault="007B0A59">
            <w:pPr>
              <w:rPr>
                <w:rFonts w:ascii="Arial" w:hAnsi="Arial" w:cs="Arial"/>
                <w:b/>
                <w:bCs/>
                <w:color w:val="E46C0A"/>
                <w:sz w:val="20"/>
                <w:szCs w:val="20"/>
              </w:rPr>
            </w:pPr>
            <w:r>
              <w:rPr>
                <w:rFonts w:ascii="Arial" w:hAnsi="Arial" w:cs="Arial"/>
                <w:sz w:val="20"/>
                <w:szCs w:val="20"/>
              </w:rPr>
              <w:t xml:space="preserve">Closing date for completed applications:  </w:t>
            </w:r>
            <w:r w:rsidRPr="007B0A59">
              <w:rPr>
                <w:rFonts w:ascii="Arial" w:hAnsi="Arial" w:cs="Arial"/>
                <w:b/>
                <w:bCs/>
                <w:color w:val="0000CC"/>
                <w:sz w:val="20"/>
                <w:szCs w:val="20"/>
              </w:rPr>
              <w:t xml:space="preserve">12pm </w:t>
            </w:r>
            <w:r w:rsidR="00F66C51">
              <w:rPr>
                <w:rFonts w:ascii="Arial" w:hAnsi="Arial" w:cs="Arial"/>
                <w:b/>
                <w:bCs/>
                <w:color w:val="0000CC"/>
                <w:sz w:val="20"/>
                <w:szCs w:val="20"/>
              </w:rPr>
              <w:t>Friday 5</w:t>
            </w:r>
            <w:r w:rsidR="00F66C51" w:rsidRPr="00F66C51">
              <w:rPr>
                <w:rFonts w:ascii="Arial" w:hAnsi="Arial" w:cs="Arial"/>
                <w:b/>
                <w:bCs/>
                <w:color w:val="0000CC"/>
                <w:sz w:val="20"/>
                <w:szCs w:val="20"/>
                <w:vertAlign w:val="superscript"/>
              </w:rPr>
              <w:t>th</w:t>
            </w:r>
            <w:r w:rsidR="00F66C51">
              <w:rPr>
                <w:rFonts w:ascii="Arial" w:hAnsi="Arial" w:cs="Arial"/>
                <w:b/>
                <w:bCs/>
                <w:color w:val="0000CC"/>
                <w:sz w:val="20"/>
                <w:szCs w:val="20"/>
              </w:rPr>
              <w:t xml:space="preserve"> October </w:t>
            </w:r>
            <w:r w:rsidRPr="007B0A59">
              <w:rPr>
                <w:rFonts w:ascii="Arial" w:hAnsi="Arial" w:cs="Arial"/>
                <w:b/>
                <w:bCs/>
                <w:color w:val="0000CC"/>
                <w:sz w:val="20"/>
                <w:szCs w:val="20"/>
              </w:rPr>
              <w:t>2012</w:t>
            </w:r>
          </w:p>
          <w:p w:rsidR="007B0A59" w:rsidRDefault="007B0A59">
            <w:pPr>
              <w:rPr>
                <w:rFonts w:ascii="Arial" w:hAnsi="Arial" w:cs="Arial"/>
                <w:b/>
                <w:bCs/>
                <w:color w:val="E46C0A"/>
                <w:sz w:val="20"/>
                <w:szCs w:val="20"/>
              </w:rPr>
            </w:pPr>
            <w:r>
              <w:rPr>
                <w:rFonts w:ascii="Arial" w:hAnsi="Arial" w:cs="Arial"/>
                <w:sz w:val="20"/>
                <w:szCs w:val="20"/>
              </w:rPr>
              <w:t xml:space="preserve">Interviews will take place on or after: </w:t>
            </w:r>
            <w:r w:rsidR="00F66C51">
              <w:rPr>
                <w:rFonts w:ascii="Arial" w:hAnsi="Arial" w:cs="Arial"/>
                <w:b/>
                <w:bCs/>
                <w:color w:val="0000CC"/>
                <w:sz w:val="20"/>
                <w:szCs w:val="20"/>
              </w:rPr>
              <w:t>Monday 8</w:t>
            </w:r>
            <w:r w:rsidR="00F66C51" w:rsidRPr="00F66C51">
              <w:rPr>
                <w:rFonts w:ascii="Arial" w:hAnsi="Arial" w:cs="Arial"/>
                <w:b/>
                <w:bCs/>
                <w:color w:val="0000CC"/>
                <w:sz w:val="20"/>
                <w:szCs w:val="20"/>
                <w:vertAlign w:val="superscript"/>
              </w:rPr>
              <w:t>th</w:t>
            </w:r>
            <w:r w:rsidRPr="007B0A59">
              <w:rPr>
                <w:rFonts w:ascii="Arial" w:hAnsi="Arial" w:cs="Arial"/>
                <w:b/>
                <w:bCs/>
                <w:color w:val="0000CC"/>
                <w:sz w:val="20"/>
                <w:szCs w:val="20"/>
              </w:rPr>
              <w:t xml:space="preserve"> </w:t>
            </w:r>
            <w:r w:rsidR="00F66C51">
              <w:rPr>
                <w:rFonts w:ascii="Arial" w:hAnsi="Arial" w:cs="Arial"/>
                <w:b/>
                <w:bCs/>
                <w:color w:val="0000CC"/>
                <w:sz w:val="20"/>
                <w:szCs w:val="20"/>
              </w:rPr>
              <w:t xml:space="preserve">October </w:t>
            </w:r>
            <w:r w:rsidRPr="007B0A59">
              <w:rPr>
                <w:rFonts w:ascii="Arial" w:hAnsi="Arial" w:cs="Arial"/>
                <w:b/>
                <w:bCs/>
                <w:color w:val="0000CC"/>
                <w:sz w:val="20"/>
                <w:szCs w:val="20"/>
              </w:rPr>
              <w:t>2012</w:t>
            </w:r>
          </w:p>
          <w:p w:rsidR="007B0A59" w:rsidRDefault="007B0A59">
            <w:pPr>
              <w:jc w:val="center"/>
              <w:rPr>
                <w:rFonts w:ascii="Arial" w:hAnsi="Arial" w:cs="Arial"/>
                <w:color w:val="E46C0A"/>
                <w:sz w:val="20"/>
                <w:szCs w:val="20"/>
              </w:rPr>
            </w:pPr>
            <w:r>
              <w:rPr>
                <w:noProof/>
                <w:lang w:eastAsia="en-GB"/>
              </w:rPr>
              <w:drawing>
                <wp:inline distT="0" distB="0" distL="0" distR="0" wp14:anchorId="117A18F4" wp14:editId="141C160B">
                  <wp:extent cx="1466850" cy="1123950"/>
                  <wp:effectExtent l="0" t="0" r="0" b="0"/>
                  <wp:docPr id="1" name="Picture 1" descr="cid:image005.jpg@01CD8F64.4764C3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5.jpg@01CD8F64.4764C3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66850" cy="1123950"/>
                          </a:xfrm>
                          <a:prstGeom prst="rect">
                            <a:avLst/>
                          </a:prstGeom>
                          <a:noFill/>
                          <a:ln>
                            <a:noFill/>
                          </a:ln>
                        </pic:spPr>
                      </pic:pic>
                    </a:graphicData>
                  </a:graphic>
                </wp:inline>
              </w:drawing>
            </w:r>
          </w:p>
        </w:tc>
      </w:tr>
      <w:tr w:rsidR="007B0A59" w:rsidTr="00F66C51">
        <w:trPr>
          <w:jc w:val="center"/>
        </w:trPr>
        <w:tc>
          <w:tcPr>
            <w:tcW w:w="9584" w:type="dxa"/>
            <w:tcBorders>
              <w:top w:val="nil"/>
              <w:left w:val="single" w:sz="24" w:space="0" w:color="0000CC"/>
              <w:bottom w:val="single" w:sz="24" w:space="0" w:color="0000CC"/>
              <w:right w:val="single" w:sz="24" w:space="0" w:color="0000CC"/>
            </w:tcBorders>
            <w:shd w:val="clear" w:color="auto" w:fill="1F497D" w:themeFill="text2"/>
            <w:tcMar>
              <w:top w:w="0" w:type="dxa"/>
              <w:left w:w="108" w:type="dxa"/>
              <w:bottom w:w="0" w:type="dxa"/>
              <w:right w:w="108" w:type="dxa"/>
            </w:tcMar>
          </w:tcPr>
          <w:p w:rsidR="007B0A59" w:rsidRDefault="007B0A59">
            <w:pPr>
              <w:pStyle w:val="Default"/>
              <w:jc w:val="center"/>
              <w:rPr>
                <w:b/>
                <w:bCs/>
                <w:color w:val="365F91"/>
                <w:sz w:val="20"/>
                <w:szCs w:val="20"/>
              </w:rPr>
            </w:pPr>
          </w:p>
          <w:p w:rsidR="007B0A59" w:rsidRDefault="007B0A59">
            <w:pPr>
              <w:pStyle w:val="Default"/>
              <w:jc w:val="center"/>
              <w:rPr>
                <w:b/>
                <w:bCs/>
                <w:color w:val="FFFFFF"/>
                <w:sz w:val="22"/>
                <w:szCs w:val="22"/>
              </w:rPr>
            </w:pPr>
            <w:r>
              <w:rPr>
                <w:b/>
                <w:bCs/>
                <w:color w:val="FFFFFF"/>
                <w:sz w:val="22"/>
                <w:szCs w:val="22"/>
              </w:rPr>
              <w:t>AASHA</w:t>
            </w:r>
          </w:p>
          <w:p w:rsidR="007B0A59" w:rsidRDefault="007B0A59">
            <w:pPr>
              <w:spacing w:after="0" w:line="240" w:lineRule="auto"/>
              <w:jc w:val="center"/>
              <w:rPr>
                <w:rFonts w:ascii="Arial" w:hAnsi="Arial" w:cs="Arial"/>
                <w:b/>
                <w:bCs/>
                <w:color w:val="365F91"/>
                <w:sz w:val="20"/>
                <w:szCs w:val="20"/>
                <w:lang w:eastAsia="en-GB"/>
              </w:rPr>
            </w:pPr>
            <w:r>
              <w:rPr>
                <w:rFonts w:ascii="Arial" w:hAnsi="Arial" w:cs="Arial"/>
                <w:b/>
                <w:bCs/>
                <w:color w:val="FFFFFF"/>
                <w:sz w:val="20"/>
                <w:szCs w:val="20"/>
                <w:lang w:eastAsia="en-GB"/>
              </w:rPr>
              <w:t>Osmani Trust</w:t>
            </w:r>
          </w:p>
          <w:p w:rsidR="007B0A59" w:rsidRDefault="007B0A59">
            <w:pPr>
              <w:spacing w:after="0" w:line="240" w:lineRule="auto"/>
              <w:jc w:val="center"/>
              <w:rPr>
                <w:rFonts w:ascii="Arial" w:hAnsi="Arial" w:cs="Arial"/>
                <w:b/>
                <w:bCs/>
                <w:color w:val="FFFFFF"/>
                <w:sz w:val="20"/>
                <w:szCs w:val="20"/>
                <w:lang w:eastAsia="en-GB"/>
              </w:rPr>
            </w:pPr>
            <w:r>
              <w:rPr>
                <w:rFonts w:ascii="Arial" w:hAnsi="Arial" w:cs="Arial"/>
                <w:b/>
                <w:bCs/>
                <w:color w:val="FFFFFF"/>
                <w:sz w:val="20"/>
                <w:szCs w:val="20"/>
                <w:lang w:eastAsia="en-GB"/>
              </w:rPr>
              <w:t>Osmani Centre, 58 Underwood Road, London E1 5AW</w:t>
            </w:r>
          </w:p>
          <w:p w:rsidR="007B0A59" w:rsidRDefault="007B0A59">
            <w:pPr>
              <w:spacing w:after="0" w:line="240" w:lineRule="auto"/>
              <w:jc w:val="center"/>
              <w:rPr>
                <w:rFonts w:ascii="Arial" w:hAnsi="Arial" w:cs="Arial"/>
                <w:b/>
                <w:bCs/>
                <w:color w:val="FFFFFF"/>
                <w:sz w:val="20"/>
                <w:szCs w:val="20"/>
                <w:lang w:eastAsia="en-GB"/>
              </w:rPr>
            </w:pPr>
            <w:r>
              <w:rPr>
                <w:rFonts w:ascii="Arial" w:hAnsi="Arial" w:cs="Arial"/>
                <w:b/>
                <w:bCs/>
                <w:color w:val="FFFFFF"/>
                <w:sz w:val="20"/>
                <w:szCs w:val="20"/>
                <w:lang w:eastAsia="en-GB"/>
              </w:rPr>
              <w:t xml:space="preserve">T: 020 7247 8080 </w:t>
            </w:r>
            <w:r>
              <w:rPr>
                <w:rFonts w:ascii="Arial" w:hAnsi="Arial" w:cs="Arial"/>
                <w:b/>
                <w:bCs/>
                <w:color w:val="365F91"/>
                <w:sz w:val="20"/>
                <w:szCs w:val="20"/>
                <w:lang w:eastAsia="en-GB"/>
              </w:rPr>
              <w:t> </w:t>
            </w:r>
            <w:r>
              <w:rPr>
                <w:rFonts w:ascii="Arial" w:hAnsi="Arial" w:cs="Arial"/>
                <w:b/>
                <w:bCs/>
                <w:color w:val="FFFFFF"/>
                <w:sz w:val="20"/>
                <w:szCs w:val="20"/>
                <w:lang w:eastAsia="en-GB"/>
              </w:rPr>
              <w:t>F: 020 7247 6453W: osmanitrust.org</w:t>
            </w:r>
          </w:p>
          <w:p w:rsidR="007B0A59" w:rsidRDefault="007B0A59">
            <w:pPr>
              <w:spacing w:after="0"/>
              <w:jc w:val="center"/>
              <w:rPr>
                <w:rFonts w:ascii="Arial" w:hAnsi="Arial" w:cs="Arial"/>
                <w:b/>
                <w:bCs/>
                <w:color w:val="FFFFFF"/>
                <w:sz w:val="20"/>
                <w:szCs w:val="20"/>
                <w:lang w:val="es-VE" w:eastAsia="en-GB"/>
              </w:rPr>
            </w:pPr>
            <w:r>
              <w:rPr>
                <w:rFonts w:ascii="Arial" w:hAnsi="Arial" w:cs="Arial"/>
                <w:b/>
                <w:bCs/>
                <w:color w:val="FFFFFF"/>
                <w:sz w:val="20"/>
                <w:szCs w:val="20"/>
                <w:lang w:val="es-VE" w:eastAsia="en-GB"/>
              </w:rPr>
              <w:lastRenderedPageBreak/>
              <w:t xml:space="preserve">E: </w:t>
            </w:r>
            <w:hyperlink r:id="rId9" w:history="1">
              <w:r>
                <w:rPr>
                  <w:rStyle w:val="Hyperlink"/>
                  <w:rFonts w:ascii="Arial" w:hAnsi="Arial" w:cs="Arial"/>
                  <w:b/>
                  <w:bCs/>
                  <w:sz w:val="20"/>
                  <w:szCs w:val="20"/>
                </w:rPr>
                <w:t>Muhinur.choudhury@osmanitrust.org</w:t>
              </w:r>
            </w:hyperlink>
          </w:p>
          <w:p w:rsidR="007B0A59" w:rsidRDefault="007B0A59">
            <w:pPr>
              <w:pStyle w:val="Default"/>
              <w:jc w:val="center"/>
              <w:rPr>
                <w:b/>
                <w:bCs/>
                <w:color w:val="FFFFFF"/>
                <w:sz w:val="20"/>
                <w:szCs w:val="20"/>
              </w:rPr>
            </w:pPr>
            <w:r>
              <w:rPr>
                <w:b/>
                <w:bCs/>
                <w:color w:val="FFFFFF"/>
                <w:sz w:val="20"/>
                <w:szCs w:val="20"/>
                <w:lang w:eastAsia="en-GB"/>
              </w:rPr>
              <w:t>Charity registration number 1129282</w:t>
            </w:r>
          </w:p>
          <w:p w:rsidR="007B0A59" w:rsidRDefault="007B0A59">
            <w:pPr>
              <w:pStyle w:val="Default"/>
              <w:jc w:val="center"/>
              <w:rPr>
                <w:color w:val="FFFFFF"/>
                <w:sz w:val="20"/>
                <w:szCs w:val="20"/>
              </w:rPr>
            </w:pPr>
          </w:p>
        </w:tc>
      </w:tr>
    </w:tbl>
    <w:p w:rsidR="00127162" w:rsidRDefault="00127162"/>
    <w:sectPr w:rsidR="00127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A59"/>
    <w:rsid w:val="00127162"/>
    <w:rsid w:val="00154C7C"/>
    <w:rsid w:val="002D17B6"/>
    <w:rsid w:val="0071236B"/>
    <w:rsid w:val="00752959"/>
    <w:rsid w:val="007B0A59"/>
    <w:rsid w:val="00BF1B49"/>
    <w:rsid w:val="00D52522"/>
    <w:rsid w:val="00F66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5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A59"/>
    <w:rPr>
      <w:color w:val="0000FF"/>
      <w:u w:val="single"/>
    </w:rPr>
  </w:style>
  <w:style w:type="paragraph" w:customStyle="1" w:styleId="Default">
    <w:name w:val="Default"/>
    <w:basedOn w:val="Normal"/>
    <w:rsid w:val="007B0A59"/>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B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A5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0A59"/>
    <w:rPr>
      <w:color w:val="0000FF"/>
      <w:u w:val="single"/>
    </w:rPr>
  </w:style>
  <w:style w:type="paragraph" w:customStyle="1" w:styleId="Default">
    <w:name w:val="Default"/>
    <w:basedOn w:val="Normal"/>
    <w:rsid w:val="007B0A59"/>
    <w:pPr>
      <w:autoSpaceDE w:val="0"/>
      <w:autoSpaceDN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B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0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1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CD8F64.4764C3A0" TargetMode="Externa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uhinur.choudhury@osmanitrust.or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uhinur.choudhury@osmanitru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Muhinur Choudhury</dc:creator>
  <cp:lastModifiedBy>Muhinur Choudhury</cp:lastModifiedBy>
  <cp:revision>6</cp:revision>
  <dcterms:created xsi:type="dcterms:W3CDTF">2012-09-27T10:22:00Z</dcterms:created>
  <dcterms:modified xsi:type="dcterms:W3CDTF">2012-09-27T10:48:00Z</dcterms:modified>
</cp:coreProperties>
</file>